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B" w:rsidRPr="008F5F37" w:rsidRDefault="00D6334E">
      <w:pPr>
        <w:rPr>
          <w:rFonts w:ascii="Times New Roman" w:hAnsi="Times New Roman" w:cs="Times New Roman"/>
          <w:b/>
        </w:rPr>
      </w:pPr>
      <w:r w:rsidRPr="008F5F37">
        <w:rPr>
          <w:rFonts w:ascii="Times New Roman" w:hAnsi="Times New Roman" w:cs="Times New Roman"/>
          <w:b/>
        </w:rPr>
        <w:t>Checkliste zur Einschätzung der</w:t>
      </w:r>
      <w:r w:rsidR="000717A0" w:rsidRPr="008F5F37">
        <w:rPr>
          <w:rFonts w:ascii="Times New Roman" w:hAnsi="Times New Roman" w:cs="Times New Roman"/>
          <w:b/>
        </w:rPr>
        <w:t xml:space="preserve"> peripheren</w:t>
      </w:r>
      <w:r w:rsidRPr="008F5F37">
        <w:rPr>
          <w:rFonts w:ascii="Times New Roman" w:hAnsi="Times New Roman" w:cs="Times New Roman"/>
          <w:b/>
        </w:rPr>
        <w:t xml:space="preserve"> Hörfähigkeit</w:t>
      </w:r>
    </w:p>
    <w:p w:rsidR="00D6334E" w:rsidRPr="008F5F37" w:rsidRDefault="00D6334E">
      <w:pPr>
        <w:rPr>
          <w:rFonts w:ascii="Times New Roman" w:hAnsi="Times New Roman" w:cs="Times New Roman"/>
        </w:rPr>
      </w:pPr>
      <w:r w:rsidRPr="008F5F37">
        <w:rPr>
          <w:rFonts w:ascii="Times New Roman" w:hAnsi="Times New Roman" w:cs="Times New Roman"/>
        </w:rPr>
        <w:t>Die vorliegende Checkliste soll helfen</w:t>
      </w:r>
      <w:r w:rsidR="00B87CC7">
        <w:rPr>
          <w:rFonts w:ascii="Times New Roman" w:hAnsi="Times New Roman" w:cs="Times New Roman"/>
        </w:rPr>
        <w:t>,</w:t>
      </w:r>
      <w:r w:rsidRPr="008F5F37">
        <w:rPr>
          <w:rFonts w:ascii="Times New Roman" w:hAnsi="Times New Roman" w:cs="Times New Roman"/>
        </w:rPr>
        <w:t xml:space="preserve"> die Hörfähigkeit eines Kindes aus der pädagogischen Beobachtung heraus einzuschätzen, um eventuell weiterführende Maßnahmen einzuleiten. Sie erhebt dabei keinen Anspruch auf Vollständigkeit. Im Zweifelsfall sollte eine medizinische Abklär</w:t>
      </w:r>
      <w:r w:rsidR="00117797" w:rsidRPr="008F5F37">
        <w:rPr>
          <w:rFonts w:ascii="Times New Roman" w:hAnsi="Times New Roman" w:cs="Times New Roman"/>
        </w:rPr>
        <w:t xml:space="preserve">ung erfolgen, bzw. die Beratungsstelle des zuständigen üBFZ in Anspruch genommen werden. </w:t>
      </w:r>
    </w:p>
    <w:p w:rsidR="000717A0" w:rsidRPr="008F5F37" w:rsidRDefault="000717A0">
      <w:pPr>
        <w:rPr>
          <w:rFonts w:ascii="Times New Roman" w:hAnsi="Times New Roman" w:cs="Times New Roman"/>
          <w:i/>
        </w:rPr>
      </w:pPr>
      <w:r w:rsidRPr="008F5F37">
        <w:rPr>
          <w:rFonts w:ascii="Times New Roman" w:hAnsi="Times New Roman" w:cs="Times New Roman"/>
          <w:i/>
        </w:rPr>
        <w:t>Die Checkliste bezieht sich auf die periphere Hörsituation des Kindes. Zur Einschätzung de</w:t>
      </w:r>
      <w:r w:rsidR="00FF655A" w:rsidRPr="008F5F37">
        <w:rPr>
          <w:rFonts w:ascii="Times New Roman" w:hAnsi="Times New Roman" w:cs="Times New Roman"/>
          <w:i/>
        </w:rPr>
        <w:t xml:space="preserve">r </w:t>
      </w:r>
      <w:r w:rsidRPr="008F5F37">
        <w:rPr>
          <w:rFonts w:ascii="Times New Roman" w:hAnsi="Times New Roman" w:cs="Times New Roman"/>
          <w:i/>
        </w:rPr>
        <w:t>auditive</w:t>
      </w:r>
      <w:r w:rsidR="00FF655A" w:rsidRPr="008F5F37">
        <w:rPr>
          <w:rFonts w:ascii="Times New Roman" w:hAnsi="Times New Roman" w:cs="Times New Roman"/>
          <w:i/>
        </w:rPr>
        <w:t>n</w:t>
      </w:r>
      <w:r w:rsidR="00B87CC7">
        <w:rPr>
          <w:rFonts w:ascii="Times New Roman" w:hAnsi="Times New Roman" w:cs="Times New Roman"/>
          <w:i/>
        </w:rPr>
        <w:t xml:space="preserve"> Verarbeitung und Wahrnehmung</w:t>
      </w:r>
      <w:r w:rsidRPr="008F5F37">
        <w:rPr>
          <w:rFonts w:ascii="Times New Roman" w:hAnsi="Times New Roman" w:cs="Times New Roman"/>
          <w:i/>
        </w:rPr>
        <w:t xml:space="preserve"> wird auf den </w:t>
      </w:r>
      <w:r w:rsidR="00AC712D">
        <w:rPr>
          <w:rFonts w:ascii="Times New Roman" w:hAnsi="Times New Roman" w:cs="Times New Roman"/>
          <w:i/>
        </w:rPr>
        <w:t>Anamnese</w:t>
      </w:r>
      <w:r w:rsidRPr="008F5F37">
        <w:rPr>
          <w:rFonts w:ascii="Times New Roman" w:hAnsi="Times New Roman" w:cs="Times New Roman"/>
          <w:i/>
        </w:rPr>
        <w:t>bogen der Deutsche</w:t>
      </w:r>
      <w:r w:rsidR="00AC712D">
        <w:rPr>
          <w:rFonts w:ascii="Times New Roman" w:hAnsi="Times New Roman" w:cs="Times New Roman"/>
          <w:i/>
        </w:rPr>
        <w:t>n</w:t>
      </w:r>
      <w:r w:rsidRPr="008F5F37">
        <w:rPr>
          <w:rFonts w:ascii="Times New Roman" w:hAnsi="Times New Roman" w:cs="Times New Roman"/>
          <w:i/>
        </w:rPr>
        <w:t xml:space="preserve"> Gesellschaft für Phoniatrie und </w:t>
      </w:r>
      <w:proofErr w:type="spellStart"/>
      <w:r w:rsidRPr="008F5F37">
        <w:rPr>
          <w:rFonts w:ascii="Times New Roman" w:hAnsi="Times New Roman" w:cs="Times New Roman"/>
          <w:i/>
        </w:rPr>
        <w:t>Pädaud</w:t>
      </w:r>
      <w:r w:rsidR="00FF655A" w:rsidRPr="008F5F37">
        <w:rPr>
          <w:rFonts w:ascii="Times New Roman" w:hAnsi="Times New Roman" w:cs="Times New Roman"/>
          <w:i/>
        </w:rPr>
        <w:t>iologie</w:t>
      </w:r>
      <w:proofErr w:type="spellEnd"/>
      <w:r w:rsidR="00FF655A" w:rsidRPr="008F5F37">
        <w:rPr>
          <w:rFonts w:ascii="Times New Roman" w:hAnsi="Times New Roman" w:cs="Times New Roman"/>
          <w:i/>
        </w:rPr>
        <w:t xml:space="preserve"> verwiesen</w:t>
      </w:r>
      <w:r w:rsidR="00AC712D">
        <w:rPr>
          <w:rFonts w:ascii="Times New Roman" w:hAnsi="Times New Roman" w:cs="Times New Roman"/>
          <w:i/>
        </w:rPr>
        <w:t xml:space="preserve"> (Download möglich unter </w:t>
      </w:r>
      <w:hyperlink r:id="rId7" w:history="1">
        <w:r w:rsidR="00AC712D" w:rsidRPr="004A0799">
          <w:rPr>
            <w:rStyle w:val="Hyperlink"/>
            <w:rFonts w:ascii="Times New Roman" w:hAnsi="Times New Roman" w:cs="Times New Roman"/>
            <w:i/>
          </w:rPr>
          <w:t>www.dgpp.de</w:t>
        </w:r>
      </w:hyperlink>
      <w:r w:rsidR="00AC712D">
        <w:rPr>
          <w:rFonts w:ascii="Times New Roman" w:hAnsi="Times New Roman" w:cs="Times New Roman"/>
          <w:i/>
        </w:rPr>
        <w:t xml:space="preserve"> oder </w:t>
      </w:r>
      <w:hyperlink r:id="rId8" w:history="1">
        <w:r w:rsidR="00AC712D" w:rsidRPr="004A0799">
          <w:rPr>
            <w:rStyle w:val="Hyperlink"/>
            <w:rFonts w:ascii="Times New Roman" w:hAnsi="Times New Roman" w:cs="Times New Roman"/>
            <w:i/>
          </w:rPr>
          <w:t>www.johannes-vatterschule.de</w:t>
        </w:r>
      </w:hyperlink>
      <w:r w:rsidR="00AC712D">
        <w:rPr>
          <w:rFonts w:ascii="Times New Roman" w:hAnsi="Times New Roman" w:cs="Times New Roman"/>
          <w:i/>
        </w:rPr>
        <w:t xml:space="preserve">). </w:t>
      </w:r>
      <w:r w:rsidR="00FF655A" w:rsidRPr="008F5F37">
        <w:rPr>
          <w:rFonts w:ascii="Times New Roman" w:hAnsi="Times New Roman" w:cs="Times New Roman"/>
          <w:i/>
        </w:rPr>
        <w:t xml:space="preserve">Für </w:t>
      </w:r>
      <w:r w:rsidRPr="008F5F37">
        <w:rPr>
          <w:rFonts w:ascii="Times New Roman" w:hAnsi="Times New Roman" w:cs="Times New Roman"/>
          <w:i/>
        </w:rPr>
        <w:t xml:space="preserve">Fragen hierzu stehen die Beratungsstellen </w:t>
      </w:r>
      <w:proofErr w:type="gramStart"/>
      <w:r w:rsidRPr="008F5F37">
        <w:rPr>
          <w:rFonts w:ascii="Times New Roman" w:hAnsi="Times New Roman" w:cs="Times New Roman"/>
          <w:i/>
        </w:rPr>
        <w:t>der üBFZ Hören</w:t>
      </w:r>
      <w:proofErr w:type="gramEnd"/>
      <w:r w:rsidRPr="008F5F37">
        <w:rPr>
          <w:rFonts w:ascii="Times New Roman" w:hAnsi="Times New Roman" w:cs="Times New Roman"/>
          <w:i/>
        </w:rPr>
        <w:t xml:space="preserve"> zur Verfügung.</w:t>
      </w:r>
    </w:p>
    <w:p w:rsidR="00070020" w:rsidRPr="008F5F37" w:rsidRDefault="00070020">
      <w:pPr>
        <w:rPr>
          <w:rFonts w:ascii="Times New Roman" w:hAnsi="Times New Roman" w:cs="Times New Roman"/>
          <w:b/>
        </w:rPr>
      </w:pPr>
      <w:r w:rsidRPr="008F5F37">
        <w:rPr>
          <w:rFonts w:ascii="Times New Roman" w:hAnsi="Times New Roman" w:cs="Times New Roman"/>
          <w:b/>
        </w:rPr>
        <w:t xml:space="preserve">Wird eine der folgenden beiden Fragen mit „trifft zu“ beantwortet, </w:t>
      </w:r>
      <w:r w:rsidRPr="008F5F37">
        <w:rPr>
          <w:rFonts w:ascii="Times New Roman" w:hAnsi="Times New Roman" w:cs="Times New Roman"/>
          <w:b/>
          <w:u w:val="single"/>
        </w:rPr>
        <w:t xml:space="preserve">muss </w:t>
      </w:r>
      <w:r w:rsidRPr="008F5F37">
        <w:rPr>
          <w:rFonts w:ascii="Times New Roman" w:hAnsi="Times New Roman" w:cs="Times New Roman"/>
          <w:b/>
        </w:rPr>
        <w:t>das üBFZ Hören in die Beratung einbezogen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6E2A77" w:rsidRPr="008F5F37" w:rsidTr="006E2A77">
        <w:tc>
          <w:tcPr>
            <w:tcW w:w="7196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trifft zu </w:t>
            </w:r>
          </w:p>
        </w:tc>
        <w:tc>
          <w:tcPr>
            <w:tcW w:w="1024" w:type="dxa"/>
          </w:tcPr>
          <w:p w:rsidR="006E2A77" w:rsidRPr="008F5F37" w:rsidRDefault="008F5F3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t</w:t>
            </w:r>
            <w:r w:rsidR="006E2A77" w:rsidRPr="008F5F37">
              <w:rPr>
                <w:rFonts w:ascii="Times New Roman" w:hAnsi="Times New Roman" w:cs="Times New Roman"/>
              </w:rPr>
              <w:t>rifft nicht zu</w:t>
            </w:r>
          </w:p>
        </w:tc>
      </w:tr>
      <w:tr w:rsidR="006E2A77" w:rsidRPr="008F5F37" w:rsidTr="006E2A77">
        <w:tc>
          <w:tcPr>
            <w:tcW w:w="7196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Das Kind trägt Hörhilfen.</w:t>
            </w:r>
          </w:p>
        </w:tc>
        <w:tc>
          <w:tcPr>
            <w:tcW w:w="992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</w:p>
        </w:tc>
      </w:tr>
      <w:tr w:rsidR="006E2A77" w:rsidRPr="008F5F37" w:rsidTr="006E2A77">
        <w:tc>
          <w:tcPr>
            <w:tcW w:w="7196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Für das Kind liegt ein</w:t>
            </w:r>
            <w:r w:rsidR="00070020" w:rsidRPr="008F5F37">
              <w:rPr>
                <w:rFonts w:ascii="Times New Roman" w:hAnsi="Times New Roman" w:cs="Times New Roman"/>
              </w:rPr>
              <w:t xml:space="preserve"> fachärztlicher Befund einer Hörschädigung vor</w:t>
            </w:r>
            <w:r w:rsidRPr="008F5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A77" w:rsidRPr="008F5F37" w:rsidRDefault="006E2A77">
            <w:pPr>
              <w:rPr>
                <w:rFonts w:ascii="Times New Roman" w:hAnsi="Times New Roman" w:cs="Times New Roman"/>
              </w:rPr>
            </w:pPr>
          </w:p>
        </w:tc>
      </w:tr>
    </w:tbl>
    <w:p w:rsidR="008F5F37" w:rsidRPr="008F5F37" w:rsidRDefault="008F5F37" w:rsidP="008F5F37">
      <w:pPr>
        <w:pStyle w:val="KeinLeerraum"/>
        <w:rPr>
          <w:rFonts w:ascii="Times New Roman" w:hAnsi="Times New Roman" w:cs="Times New Roman"/>
        </w:rPr>
      </w:pPr>
    </w:p>
    <w:p w:rsidR="00070020" w:rsidRPr="008F5F37" w:rsidRDefault="00070020">
      <w:pPr>
        <w:rPr>
          <w:rFonts w:ascii="Times New Roman" w:hAnsi="Times New Roman" w:cs="Times New Roman"/>
        </w:rPr>
      </w:pPr>
      <w:r w:rsidRPr="008F5F37">
        <w:rPr>
          <w:rFonts w:ascii="Times New Roman" w:hAnsi="Times New Roman" w:cs="Times New Roman"/>
        </w:rPr>
        <w:t>Bewerten Sie, nach Beobachtun</w:t>
      </w:r>
      <w:r w:rsidR="008F5F37" w:rsidRPr="008F5F37">
        <w:rPr>
          <w:rFonts w:ascii="Times New Roman" w:hAnsi="Times New Roman" w:cs="Times New Roman"/>
        </w:rPr>
        <w:t xml:space="preserve">g des Kindes, </w:t>
      </w:r>
      <w:r w:rsidRPr="00B87CC7">
        <w:rPr>
          <w:rFonts w:ascii="Times New Roman" w:hAnsi="Times New Roman" w:cs="Times New Roman"/>
          <w:u w:val="single"/>
        </w:rPr>
        <w:t>eine</w:t>
      </w:r>
      <w:r w:rsidRPr="008F5F37">
        <w:rPr>
          <w:rFonts w:ascii="Times New Roman" w:hAnsi="Times New Roman" w:cs="Times New Roman"/>
        </w:rPr>
        <w:t xml:space="preserve"> der folgenden Aussagen mit „trifft zu“, könnte bei dem Kind eine periphere Hörstörung vorliegen. In diesem Fall </w:t>
      </w:r>
      <w:r w:rsidR="00990F7B" w:rsidRPr="008F5F37">
        <w:rPr>
          <w:rFonts w:ascii="Times New Roman" w:hAnsi="Times New Roman" w:cs="Times New Roman"/>
        </w:rPr>
        <w:t xml:space="preserve">soll </w:t>
      </w:r>
      <w:r w:rsidRPr="008F5F37">
        <w:rPr>
          <w:rFonts w:ascii="Times New Roman" w:hAnsi="Times New Roman" w:cs="Times New Roman"/>
        </w:rPr>
        <w:t xml:space="preserve">das Kind zu einer </w:t>
      </w:r>
      <w:proofErr w:type="spellStart"/>
      <w:r w:rsidRPr="008F5F37">
        <w:rPr>
          <w:rFonts w:ascii="Times New Roman" w:hAnsi="Times New Roman" w:cs="Times New Roman"/>
        </w:rPr>
        <w:t>pädaudiologischen</w:t>
      </w:r>
      <w:proofErr w:type="spellEnd"/>
      <w:r w:rsidRPr="008F5F37">
        <w:rPr>
          <w:rFonts w:ascii="Times New Roman" w:hAnsi="Times New Roman" w:cs="Times New Roman"/>
        </w:rPr>
        <w:t xml:space="preserve"> Untersuchung vorgestellt und Kontakt mit dem zuständigen üBFZ Hören hergestellt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117797" w:rsidRPr="008F5F37" w:rsidTr="00117797">
        <w:tc>
          <w:tcPr>
            <w:tcW w:w="7196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Das Kind</w:t>
            </w:r>
          </w:p>
        </w:tc>
        <w:tc>
          <w:tcPr>
            <w:tcW w:w="992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trifft zu</w:t>
            </w:r>
          </w:p>
        </w:tc>
        <w:tc>
          <w:tcPr>
            <w:tcW w:w="1024" w:type="dxa"/>
          </w:tcPr>
          <w:p w:rsidR="00117797" w:rsidRPr="008F5F37" w:rsidRDefault="000B20B0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t</w:t>
            </w:r>
            <w:r w:rsidR="00117797" w:rsidRPr="008F5F37">
              <w:rPr>
                <w:rFonts w:ascii="Times New Roman" w:hAnsi="Times New Roman" w:cs="Times New Roman"/>
              </w:rPr>
              <w:t>rifft nicht zu</w:t>
            </w:r>
          </w:p>
        </w:tc>
      </w:tr>
      <w:tr w:rsidR="00117797" w:rsidRPr="008F5F37" w:rsidTr="008F5F37">
        <w:tc>
          <w:tcPr>
            <w:tcW w:w="7196" w:type="dxa"/>
            <w:shd w:val="clear" w:color="auto" w:fill="FFFFFF" w:themeFill="background1"/>
          </w:tcPr>
          <w:p w:rsidR="00B87CC7" w:rsidRDefault="0011779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reagiert </w:t>
            </w:r>
            <w:r w:rsidRPr="008F5F37">
              <w:rPr>
                <w:rFonts w:ascii="Times New Roman" w:hAnsi="Times New Roman" w:cs="Times New Roman"/>
                <w:b/>
              </w:rPr>
              <w:t xml:space="preserve">nicht </w:t>
            </w:r>
            <w:r w:rsidRPr="008F5F37">
              <w:rPr>
                <w:rFonts w:ascii="Times New Roman" w:hAnsi="Times New Roman" w:cs="Times New Roman"/>
              </w:rPr>
              <w:t>auf Geräusche</w:t>
            </w:r>
          </w:p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(keine Augen- und Körperreaktionen, kein Kopfdrehen).</w:t>
            </w:r>
          </w:p>
        </w:tc>
        <w:tc>
          <w:tcPr>
            <w:tcW w:w="992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</w:tr>
      <w:tr w:rsidR="00117797" w:rsidRPr="008F5F37" w:rsidTr="008F5F37">
        <w:tc>
          <w:tcPr>
            <w:tcW w:w="7196" w:type="dxa"/>
            <w:shd w:val="clear" w:color="auto" w:fill="FFFFFF" w:themeFill="background1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reagiert </w:t>
            </w:r>
            <w:r w:rsidRPr="008F5F37">
              <w:rPr>
                <w:rFonts w:ascii="Times New Roman" w:hAnsi="Times New Roman" w:cs="Times New Roman"/>
                <w:b/>
              </w:rPr>
              <w:t xml:space="preserve">nicht </w:t>
            </w:r>
            <w:r w:rsidRPr="008F5F37">
              <w:rPr>
                <w:rFonts w:ascii="Times New Roman" w:hAnsi="Times New Roman" w:cs="Times New Roman"/>
              </w:rPr>
              <w:t>auf Zuruf.</w:t>
            </w:r>
          </w:p>
        </w:tc>
        <w:tc>
          <w:tcPr>
            <w:tcW w:w="992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</w:tr>
      <w:tr w:rsidR="00117797" w:rsidRPr="008F5F37" w:rsidTr="008F5F37">
        <w:tc>
          <w:tcPr>
            <w:tcW w:w="7196" w:type="dxa"/>
            <w:shd w:val="clear" w:color="auto" w:fill="FFFFFF" w:themeFill="background1"/>
          </w:tcPr>
          <w:p w:rsidR="00117797" w:rsidRPr="008F5F37" w:rsidRDefault="000B20B0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spricht undeutlich.</w:t>
            </w:r>
          </w:p>
        </w:tc>
        <w:tc>
          <w:tcPr>
            <w:tcW w:w="992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17797" w:rsidRPr="008F5F37" w:rsidRDefault="00117797">
            <w:pPr>
              <w:rPr>
                <w:rFonts w:ascii="Times New Roman" w:hAnsi="Times New Roman" w:cs="Times New Roman"/>
              </w:rPr>
            </w:pPr>
          </w:p>
        </w:tc>
      </w:tr>
    </w:tbl>
    <w:p w:rsidR="008F5F37" w:rsidRPr="008F5F37" w:rsidRDefault="008F5F37" w:rsidP="008F5F37">
      <w:pPr>
        <w:pStyle w:val="KeinLeerraum"/>
        <w:rPr>
          <w:rFonts w:ascii="Times New Roman" w:hAnsi="Times New Roman" w:cs="Times New Roman"/>
        </w:rPr>
      </w:pPr>
    </w:p>
    <w:p w:rsidR="008F5F37" w:rsidRPr="008F5F37" w:rsidRDefault="008F5F37" w:rsidP="008F5F37">
      <w:pPr>
        <w:rPr>
          <w:rFonts w:ascii="Times New Roman" w:hAnsi="Times New Roman" w:cs="Times New Roman"/>
        </w:rPr>
      </w:pPr>
      <w:r w:rsidRPr="008F5F37">
        <w:rPr>
          <w:rFonts w:ascii="Times New Roman" w:hAnsi="Times New Roman" w:cs="Times New Roman"/>
        </w:rPr>
        <w:t xml:space="preserve">Bewerten Sie, nach Beobachtung des Kindes, </w:t>
      </w:r>
      <w:r w:rsidRPr="00B87CC7">
        <w:rPr>
          <w:rFonts w:ascii="Times New Roman" w:hAnsi="Times New Roman" w:cs="Times New Roman"/>
          <w:u w:val="single"/>
        </w:rPr>
        <w:t>mehrere</w:t>
      </w:r>
      <w:r w:rsidRPr="008F5F37">
        <w:rPr>
          <w:rFonts w:ascii="Times New Roman" w:hAnsi="Times New Roman" w:cs="Times New Roman"/>
        </w:rPr>
        <w:t xml:space="preserve"> der folgenden Aussagen mit „trifft zu“, könnte bei dem Kind ebenfalls eine periphere Hörstörung vorliegen. Auch in diesem Fall soll das Kind zu einer </w:t>
      </w:r>
      <w:proofErr w:type="spellStart"/>
      <w:r w:rsidRPr="008F5F37">
        <w:rPr>
          <w:rFonts w:ascii="Times New Roman" w:hAnsi="Times New Roman" w:cs="Times New Roman"/>
        </w:rPr>
        <w:t>pädaudiologischen</w:t>
      </w:r>
      <w:proofErr w:type="spellEnd"/>
      <w:r w:rsidRPr="008F5F37">
        <w:rPr>
          <w:rFonts w:ascii="Times New Roman" w:hAnsi="Times New Roman" w:cs="Times New Roman"/>
        </w:rPr>
        <w:t xml:space="preserve"> Untersuchung vorgestellt und Kontakt mit dem zuständigen üBFZ Hören hergestellt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Das Kind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trifft zu</w:t>
            </w: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trifft nicht zu</w:t>
            </w: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bevorzugt laute Geräusche.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lauscht </w:t>
            </w:r>
            <w:r w:rsidRPr="008F5F37">
              <w:rPr>
                <w:rFonts w:ascii="Times New Roman" w:hAnsi="Times New Roman" w:cs="Times New Roman"/>
                <w:b/>
              </w:rPr>
              <w:t xml:space="preserve">nicht </w:t>
            </w:r>
            <w:r w:rsidRPr="008F5F37">
              <w:rPr>
                <w:rFonts w:ascii="Times New Roman" w:hAnsi="Times New Roman" w:cs="Times New Roman"/>
              </w:rPr>
              <w:t>auf leise Geräusche (z.B. Uhrenticken)</w:t>
            </w:r>
            <w:r w:rsidR="00B87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erkennt </w:t>
            </w:r>
            <w:r w:rsidRPr="008F5F37">
              <w:rPr>
                <w:rFonts w:ascii="Times New Roman" w:hAnsi="Times New Roman" w:cs="Times New Roman"/>
                <w:b/>
              </w:rPr>
              <w:t xml:space="preserve">nicht </w:t>
            </w:r>
            <w:r w:rsidRPr="008F5F37">
              <w:rPr>
                <w:rFonts w:ascii="Times New Roman" w:hAnsi="Times New Roman" w:cs="Times New Roman"/>
              </w:rPr>
              <w:t>die Stimmen bekannter Personen, ohne diese zu sehen.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ist unsicher bei der Suche nach einer Schallquelle(wechselt rasch den Blick).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orientiert sich oft an den Tätigkeiten anderer Kinder.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zeigt fehlende oder unsichere Reaktionen bei Ansprache von hinten.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  <w:b/>
              </w:rPr>
            </w:pPr>
            <w:r w:rsidRPr="008F5F37">
              <w:rPr>
                <w:rFonts w:ascii="Times New Roman" w:hAnsi="Times New Roman" w:cs="Times New Roman"/>
              </w:rPr>
              <w:t xml:space="preserve">reagiert </w:t>
            </w:r>
            <w:r w:rsidRPr="008F5F37">
              <w:rPr>
                <w:rFonts w:ascii="Times New Roman" w:hAnsi="Times New Roman" w:cs="Times New Roman"/>
                <w:b/>
              </w:rPr>
              <w:t xml:space="preserve">nicht </w:t>
            </w:r>
            <w:r w:rsidRPr="008F5F37">
              <w:rPr>
                <w:rFonts w:ascii="Times New Roman" w:hAnsi="Times New Roman" w:cs="Times New Roman"/>
              </w:rPr>
              <w:t>auf seinen</w:t>
            </w:r>
            <w:r w:rsidRPr="008F5F37">
              <w:rPr>
                <w:rFonts w:ascii="Times New Roman" w:hAnsi="Times New Roman" w:cs="Times New Roman"/>
                <w:b/>
              </w:rPr>
              <w:t xml:space="preserve"> </w:t>
            </w:r>
            <w:r w:rsidRPr="008F5F37">
              <w:rPr>
                <w:rFonts w:ascii="Times New Roman" w:hAnsi="Times New Roman" w:cs="Times New Roman"/>
              </w:rPr>
              <w:t>Namen, wenn dieser leise</w:t>
            </w:r>
            <w:r w:rsidRPr="008F5F37">
              <w:rPr>
                <w:rFonts w:ascii="Times New Roman" w:hAnsi="Times New Roman" w:cs="Times New Roman"/>
                <w:b/>
              </w:rPr>
              <w:t xml:space="preserve"> </w:t>
            </w:r>
            <w:r w:rsidRPr="008F5F37">
              <w:rPr>
                <w:rFonts w:ascii="Times New Roman" w:hAnsi="Times New Roman" w:cs="Times New Roman"/>
              </w:rPr>
              <w:t>aus ca. 5m Entfernung außerhalb seines Blickfeldes gesprochen wird.</w:t>
            </w:r>
            <w:r w:rsidRPr="008F5F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8F5F37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kann einfache Anweisungen ohne visuelle Hilfen </w:t>
            </w:r>
            <w:r w:rsidRPr="008F5F37">
              <w:rPr>
                <w:rFonts w:ascii="Times New Roman" w:hAnsi="Times New Roman" w:cs="Times New Roman"/>
                <w:b/>
              </w:rPr>
              <w:t>nicht</w:t>
            </w:r>
            <w:r w:rsidR="00B87CC7">
              <w:rPr>
                <w:rFonts w:ascii="Times New Roman" w:hAnsi="Times New Roman" w:cs="Times New Roman"/>
              </w:rPr>
              <w:t xml:space="preserve"> befolgen.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spricht auffällig laut.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 xml:space="preserve">spricht </w:t>
            </w:r>
            <w:r w:rsidRPr="008F5F37">
              <w:rPr>
                <w:rFonts w:ascii="Times New Roman" w:hAnsi="Times New Roman" w:cs="Times New Roman"/>
                <w:b/>
              </w:rPr>
              <w:t>nicht</w:t>
            </w:r>
            <w:r w:rsidRPr="008F5F37">
              <w:rPr>
                <w:rFonts w:ascii="Times New Roman" w:hAnsi="Times New Roman" w:cs="Times New Roman"/>
              </w:rPr>
              <w:t xml:space="preserve"> in normaler Sprechstimmlage (spricht meistens zu hoch).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  <w:r w:rsidRPr="008F5F37">
              <w:rPr>
                <w:rFonts w:ascii="Times New Roman" w:hAnsi="Times New Roman" w:cs="Times New Roman"/>
              </w:rPr>
              <w:t>hat Gleichgewichtsprobleme.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  <w:tr w:rsidR="008F5F37" w:rsidRPr="008F5F37" w:rsidTr="00670EF5">
        <w:tc>
          <w:tcPr>
            <w:tcW w:w="7196" w:type="dxa"/>
          </w:tcPr>
          <w:p w:rsidR="008F5F37" w:rsidRPr="008F5F37" w:rsidRDefault="00B87CC7" w:rsidP="0067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8F5F37" w:rsidRPr="008F5F37">
              <w:rPr>
                <w:rFonts w:ascii="Times New Roman" w:hAnsi="Times New Roman" w:cs="Times New Roman"/>
              </w:rPr>
              <w:t>ühlt sich in größeren Gruppen unwohl (z.B. zieht sich zurück).</w:t>
            </w:r>
          </w:p>
        </w:tc>
        <w:tc>
          <w:tcPr>
            <w:tcW w:w="992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8F5F37" w:rsidRPr="008F5F37" w:rsidRDefault="008F5F37" w:rsidP="00670EF5">
            <w:pPr>
              <w:rPr>
                <w:rFonts w:ascii="Times New Roman" w:hAnsi="Times New Roman" w:cs="Times New Roman"/>
              </w:rPr>
            </w:pPr>
          </w:p>
        </w:tc>
      </w:tr>
    </w:tbl>
    <w:p w:rsidR="008F5F37" w:rsidRPr="008F5F37" w:rsidRDefault="008F5F37">
      <w:pPr>
        <w:rPr>
          <w:rFonts w:ascii="Times New Roman" w:hAnsi="Times New Roman" w:cs="Times New Roman"/>
        </w:rPr>
      </w:pPr>
    </w:p>
    <w:sectPr w:rsidR="008F5F37" w:rsidRPr="008F5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B5" w:rsidRDefault="005F5EB5" w:rsidP="005F5EB5">
      <w:pPr>
        <w:spacing w:after="0" w:line="240" w:lineRule="auto"/>
      </w:pPr>
      <w:r>
        <w:separator/>
      </w:r>
    </w:p>
  </w:endnote>
  <w:endnote w:type="continuationSeparator" w:id="0">
    <w:p w:rsidR="005F5EB5" w:rsidRDefault="005F5EB5" w:rsidP="005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 w:rsidP="005F5EB5">
    <w:pPr>
      <w:pStyle w:val="Fuzeile"/>
      <w:jc w:val="right"/>
    </w:pPr>
    <w:bookmarkStart w:id="0" w:name="_GoBack"/>
    <w:r>
      <w:t>Stand 11/2018</w:t>
    </w:r>
  </w:p>
  <w:bookmarkEnd w:id="0"/>
  <w:p w:rsidR="005F5EB5" w:rsidRDefault="005F5E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B5" w:rsidRDefault="005F5EB5" w:rsidP="005F5EB5">
      <w:pPr>
        <w:spacing w:after="0" w:line="240" w:lineRule="auto"/>
      </w:pPr>
      <w:r>
        <w:separator/>
      </w:r>
    </w:p>
  </w:footnote>
  <w:footnote w:type="continuationSeparator" w:id="0">
    <w:p w:rsidR="005F5EB5" w:rsidRDefault="005F5EB5" w:rsidP="005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5" w:rsidRDefault="005F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E"/>
    <w:rsid w:val="000433B4"/>
    <w:rsid w:val="00070020"/>
    <w:rsid w:val="000717A0"/>
    <w:rsid w:val="000B20B0"/>
    <w:rsid w:val="00117797"/>
    <w:rsid w:val="002940E5"/>
    <w:rsid w:val="005E2309"/>
    <w:rsid w:val="005F5EB5"/>
    <w:rsid w:val="006E2A77"/>
    <w:rsid w:val="0080494B"/>
    <w:rsid w:val="008F5F37"/>
    <w:rsid w:val="00990F7B"/>
    <w:rsid w:val="00A848F6"/>
    <w:rsid w:val="00AC712D"/>
    <w:rsid w:val="00B87CC7"/>
    <w:rsid w:val="00BE64C8"/>
    <w:rsid w:val="00D6334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5F3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C71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EB5"/>
  </w:style>
  <w:style w:type="paragraph" w:styleId="Fuzeile">
    <w:name w:val="footer"/>
    <w:basedOn w:val="Standard"/>
    <w:link w:val="FuzeileZchn"/>
    <w:uiPriority w:val="99"/>
    <w:unhideWhenUsed/>
    <w:rsid w:val="005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F5F3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C71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EB5"/>
  </w:style>
  <w:style w:type="paragraph" w:styleId="Fuzeile">
    <w:name w:val="footer"/>
    <w:basedOn w:val="Standard"/>
    <w:link w:val="FuzeileZchn"/>
    <w:uiPriority w:val="99"/>
    <w:unhideWhenUsed/>
    <w:rsid w:val="005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nes-vatterschul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gpp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19D0D2FA.dotm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Hohl</dc:creator>
  <cp:lastModifiedBy>Friedek, Katja (SSA FB)</cp:lastModifiedBy>
  <cp:revision>3</cp:revision>
  <cp:lastPrinted>2016-09-14T06:01:00Z</cp:lastPrinted>
  <dcterms:created xsi:type="dcterms:W3CDTF">2018-08-27T08:25:00Z</dcterms:created>
  <dcterms:modified xsi:type="dcterms:W3CDTF">2018-11-12T09:22:00Z</dcterms:modified>
</cp:coreProperties>
</file>